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F1" w:rsidRPr="005F7F0F" w:rsidRDefault="005F7F0F" w:rsidP="005F7F0F">
      <w:pPr>
        <w:spacing w:after="0"/>
        <w:jc w:val="center"/>
        <w:rPr>
          <w:rFonts w:ascii="Book Antiqua" w:hAnsi="Book Antiqua"/>
          <w:u w:val="single"/>
        </w:rPr>
      </w:pPr>
      <w:r w:rsidRPr="005F7F0F">
        <w:rPr>
          <w:rFonts w:ascii="Book Antiqua" w:hAnsi="Book Antiqua"/>
          <w:u w:val="single"/>
        </w:rPr>
        <w:t>Detalizēts apraksts</w:t>
      </w:r>
    </w:p>
    <w:p w:rsidR="005F7F0F" w:rsidRDefault="005F7F0F" w:rsidP="005F7F0F">
      <w:pPr>
        <w:spacing w:after="0"/>
        <w:jc w:val="center"/>
        <w:rPr>
          <w:rFonts w:ascii="Book Antiqua" w:hAnsi="Book Antiqua"/>
        </w:rPr>
      </w:pPr>
    </w:p>
    <w:p w:rsidR="00DC3B6F" w:rsidRDefault="00DC3B6F" w:rsidP="005F7F0F">
      <w:pPr>
        <w:spacing w:after="0"/>
        <w:rPr>
          <w:rFonts w:ascii="Book Antiqua" w:hAnsi="Book Antiqua"/>
        </w:rPr>
      </w:pPr>
    </w:p>
    <w:p w:rsidR="005F7F0F" w:rsidRDefault="005F7F0F" w:rsidP="005F7F0F">
      <w:pPr>
        <w:spacing w:after="0"/>
        <w:rPr>
          <w:rFonts w:ascii="Book Antiqua" w:hAnsi="Book Antiqua"/>
        </w:rPr>
      </w:pPr>
      <w:r>
        <w:rPr>
          <w:rFonts w:ascii="Book Antiqua" w:hAnsi="Book Antiqua"/>
        </w:rPr>
        <w:t xml:space="preserve">Pieteicējs: </w:t>
      </w:r>
      <w:proofErr w:type="spellStart"/>
      <w:r>
        <w:rPr>
          <w:rFonts w:ascii="Book Antiqua" w:hAnsi="Book Antiqua"/>
        </w:rPr>
        <w:t>Baltic</w:t>
      </w:r>
      <w:proofErr w:type="spellEnd"/>
      <w:r>
        <w:rPr>
          <w:rFonts w:ascii="Book Antiqua" w:hAnsi="Book Antiqua"/>
        </w:rPr>
        <w:t xml:space="preserve"> </w:t>
      </w:r>
      <w:proofErr w:type="spellStart"/>
      <w:r>
        <w:rPr>
          <w:rFonts w:ascii="Book Antiqua" w:hAnsi="Book Antiqua"/>
        </w:rPr>
        <w:t>International</w:t>
      </w:r>
      <w:proofErr w:type="spellEnd"/>
      <w:r>
        <w:rPr>
          <w:rFonts w:ascii="Book Antiqua" w:hAnsi="Book Antiqua"/>
        </w:rPr>
        <w:t xml:space="preserve"> </w:t>
      </w:r>
      <w:proofErr w:type="spellStart"/>
      <w:r>
        <w:rPr>
          <w:rFonts w:ascii="Book Antiqua" w:hAnsi="Book Antiqua"/>
        </w:rPr>
        <w:t>Bank</w:t>
      </w:r>
      <w:proofErr w:type="spellEnd"/>
    </w:p>
    <w:p w:rsidR="005F7F0F" w:rsidRDefault="005F7F0F" w:rsidP="005F7F0F">
      <w:pPr>
        <w:spacing w:after="0"/>
        <w:rPr>
          <w:rFonts w:ascii="Book Antiqua" w:hAnsi="Book Antiqua"/>
        </w:rPr>
      </w:pPr>
      <w:r>
        <w:rPr>
          <w:rFonts w:ascii="Book Antiqua" w:hAnsi="Book Antiqua"/>
        </w:rPr>
        <w:t xml:space="preserve">Produkta nosaukums: </w:t>
      </w:r>
      <w:r w:rsidRPr="005F7F0F">
        <w:rPr>
          <w:rFonts w:ascii="Book Antiqua" w:hAnsi="Book Antiqua"/>
          <w:b/>
        </w:rPr>
        <w:t>„Noguldījums 33”</w:t>
      </w:r>
    </w:p>
    <w:p w:rsidR="005F7F0F" w:rsidRDefault="005F7F0F" w:rsidP="005F7F0F">
      <w:pPr>
        <w:spacing w:after="0"/>
        <w:jc w:val="both"/>
        <w:rPr>
          <w:rFonts w:ascii="Book Antiqua" w:hAnsi="Book Antiqua"/>
        </w:rPr>
      </w:pPr>
    </w:p>
    <w:p w:rsidR="005F7F0F" w:rsidRDefault="005F7F0F" w:rsidP="001E4173">
      <w:pPr>
        <w:spacing w:after="0"/>
        <w:jc w:val="both"/>
        <w:rPr>
          <w:rFonts w:ascii="Book Antiqua" w:hAnsi="Book Antiqua"/>
        </w:rPr>
      </w:pPr>
      <w:r w:rsidRPr="005F7F0F">
        <w:rPr>
          <w:rFonts w:ascii="Book Antiqua" w:hAnsi="Book Antiqua"/>
        </w:rPr>
        <w:t xml:space="preserve">Ņemot vērā pieaugošo klientu prasību pret savu ieguldījumu likviditāti, </w:t>
      </w:r>
      <w:proofErr w:type="spellStart"/>
      <w:r w:rsidRPr="005F7F0F">
        <w:rPr>
          <w:rFonts w:ascii="Book Antiqua" w:hAnsi="Book Antiqua"/>
        </w:rPr>
        <w:t>Baltic</w:t>
      </w:r>
      <w:proofErr w:type="spellEnd"/>
      <w:r w:rsidRPr="005F7F0F">
        <w:rPr>
          <w:rFonts w:ascii="Book Antiqua" w:hAnsi="Book Antiqua"/>
        </w:rPr>
        <w:t xml:space="preserve"> </w:t>
      </w:r>
      <w:proofErr w:type="spellStart"/>
      <w:r w:rsidRPr="005F7F0F">
        <w:rPr>
          <w:rFonts w:ascii="Book Antiqua" w:hAnsi="Book Antiqua"/>
        </w:rPr>
        <w:t>International</w:t>
      </w:r>
      <w:proofErr w:type="spellEnd"/>
      <w:r w:rsidRPr="005F7F0F">
        <w:rPr>
          <w:rFonts w:ascii="Book Antiqua" w:hAnsi="Book Antiqua"/>
        </w:rPr>
        <w:t xml:space="preserve"> </w:t>
      </w:r>
      <w:proofErr w:type="spellStart"/>
      <w:r w:rsidRPr="005F7F0F">
        <w:rPr>
          <w:rFonts w:ascii="Book Antiqua" w:hAnsi="Book Antiqua"/>
        </w:rPr>
        <w:t>Bank</w:t>
      </w:r>
      <w:proofErr w:type="spellEnd"/>
      <w:r w:rsidRPr="005F7F0F">
        <w:rPr>
          <w:rFonts w:ascii="Book Antiqua" w:hAnsi="Book Antiqua"/>
        </w:rPr>
        <w:t xml:space="preserve"> </w:t>
      </w:r>
      <w:r w:rsidR="001F2743">
        <w:rPr>
          <w:rFonts w:ascii="Book Antiqua" w:hAnsi="Book Antiqua"/>
        </w:rPr>
        <w:t xml:space="preserve">2013. gadā </w:t>
      </w:r>
      <w:r w:rsidRPr="005F7F0F">
        <w:rPr>
          <w:rFonts w:ascii="Book Antiqua" w:hAnsi="Book Antiqua"/>
        </w:rPr>
        <w:t>izstrādāj</w:t>
      </w:r>
      <w:r w:rsidR="001F2743">
        <w:rPr>
          <w:rFonts w:ascii="Book Antiqua" w:hAnsi="Book Antiqua"/>
        </w:rPr>
        <w:t>a</w:t>
      </w:r>
      <w:r w:rsidRPr="005F7F0F">
        <w:rPr>
          <w:rFonts w:ascii="Book Antiqua" w:hAnsi="Book Antiqua"/>
        </w:rPr>
        <w:t xml:space="preserve"> jaunu noguldījumu programmu tiem, kuriem ir nepieciešams produkts, kas būtu likvīdāks par bankas standarta noguldījumiem. Atbilstoši „Noguldījuma 33” nosacījumiem, visu ieguldīto summu var saņemt, brīdinot par to banku 33 dienas iepriekš. Taču, atšķirībā no līdzekļiem norēķinu kontā</w:t>
      </w:r>
      <w:r w:rsidR="004076B5">
        <w:rPr>
          <w:rFonts w:ascii="Book Antiqua" w:hAnsi="Book Antiqua"/>
        </w:rPr>
        <w:t xml:space="preserve"> vai krājkontā</w:t>
      </w:r>
      <w:r w:rsidRPr="005F7F0F">
        <w:rPr>
          <w:rFonts w:ascii="Book Antiqua" w:hAnsi="Book Antiqua"/>
        </w:rPr>
        <w:t xml:space="preserve">, noguldījums dod stabilus ienākumus, </w:t>
      </w:r>
      <w:proofErr w:type="gramStart"/>
      <w:r w:rsidRPr="005F7F0F">
        <w:rPr>
          <w:rFonts w:ascii="Book Antiqua" w:hAnsi="Book Antiqua"/>
        </w:rPr>
        <w:t>pie tam</w:t>
      </w:r>
      <w:proofErr w:type="gramEnd"/>
      <w:r w:rsidRPr="005F7F0F">
        <w:rPr>
          <w:rFonts w:ascii="Book Antiqua" w:hAnsi="Book Antiqua"/>
        </w:rPr>
        <w:t xml:space="preserve"> procentu likme būtiski pārsniedz standarta viena mēneša termiņnoguldījuma ienesīgumu.</w:t>
      </w:r>
    </w:p>
    <w:p w:rsidR="008B68A6" w:rsidRDefault="008B68A6" w:rsidP="008B68A6">
      <w:pPr>
        <w:spacing w:after="0"/>
        <w:jc w:val="both"/>
        <w:rPr>
          <w:rFonts w:ascii="Book Antiqua" w:hAnsi="Book Antiqua"/>
        </w:rPr>
      </w:pPr>
    </w:p>
    <w:p w:rsidR="008B68A6" w:rsidRPr="005F7F0F" w:rsidRDefault="008B68A6" w:rsidP="008B68A6">
      <w:pPr>
        <w:spacing w:after="0"/>
        <w:jc w:val="both"/>
        <w:rPr>
          <w:rFonts w:ascii="Book Antiqua" w:hAnsi="Book Antiqua"/>
          <w:u w:val="single"/>
        </w:rPr>
      </w:pPr>
      <w:r w:rsidRPr="008B68A6">
        <w:rPr>
          <w:rFonts w:ascii="Book Antiqua" w:hAnsi="Book Antiqua"/>
          <w:u w:val="single"/>
        </w:rPr>
        <w:t>Ieguvums klientiem – juridiskām personām</w:t>
      </w:r>
    </w:p>
    <w:p w:rsidR="005F7F0F" w:rsidRDefault="008B68A6" w:rsidP="008B68A6">
      <w:pPr>
        <w:spacing w:after="0"/>
        <w:jc w:val="both"/>
        <w:rPr>
          <w:rFonts w:ascii="Book Antiqua" w:hAnsi="Book Antiqua"/>
        </w:rPr>
      </w:pPr>
      <w:r>
        <w:rPr>
          <w:rFonts w:ascii="Book Antiqua" w:hAnsi="Book Antiqua"/>
        </w:rPr>
        <w:t>M</w:t>
      </w:r>
      <w:r w:rsidR="005F7F0F" w:rsidRPr="005F7F0F">
        <w:rPr>
          <w:rFonts w:ascii="Book Antiqua" w:hAnsi="Book Antiqua"/>
        </w:rPr>
        <w:t xml:space="preserve">ūsdienu ekonomika prasa arvien lielāku uzmanību veltīt brīvo līdzekļu operatīvai pieejamībai biznesa vajadzībām. </w:t>
      </w:r>
      <w:r w:rsidR="004076B5">
        <w:rPr>
          <w:rFonts w:ascii="Book Antiqua" w:hAnsi="Book Antiqua"/>
        </w:rPr>
        <w:t>J</w:t>
      </w:r>
      <w:r w:rsidR="005F7F0F" w:rsidRPr="005F7F0F">
        <w:rPr>
          <w:rFonts w:ascii="Book Antiqua" w:hAnsi="Book Antiqua"/>
        </w:rPr>
        <w:t>aunā noguldījumu programma šajā ziņā ir ļoti labs finanšu instruments, kas nodrošina gan likviditāti, gan ienesīgumu</w:t>
      </w:r>
      <w:r w:rsidR="004076B5">
        <w:rPr>
          <w:rFonts w:ascii="Book Antiqua" w:hAnsi="Book Antiqua"/>
        </w:rPr>
        <w:t xml:space="preserve">. </w:t>
      </w:r>
      <w:r w:rsidR="005F7F0F" w:rsidRPr="005F7F0F">
        <w:rPr>
          <w:rFonts w:ascii="Book Antiqua" w:hAnsi="Book Antiqua"/>
        </w:rPr>
        <w:t xml:space="preserve">Ja </w:t>
      </w:r>
      <w:r w:rsidR="004076B5">
        <w:rPr>
          <w:rFonts w:ascii="Book Antiqua" w:hAnsi="Book Antiqua"/>
        </w:rPr>
        <w:t>klients</w:t>
      </w:r>
      <w:r w:rsidR="005F7F0F" w:rsidRPr="005F7F0F">
        <w:rPr>
          <w:rFonts w:ascii="Book Antiqua" w:hAnsi="Book Antiqua"/>
        </w:rPr>
        <w:t xml:space="preserve"> nevēl</w:t>
      </w:r>
      <w:r w:rsidR="004076B5">
        <w:rPr>
          <w:rFonts w:ascii="Book Antiqua" w:hAnsi="Book Antiqua"/>
        </w:rPr>
        <w:t>ā</w:t>
      </w:r>
      <w:r w:rsidR="005F7F0F" w:rsidRPr="005F7F0F">
        <w:rPr>
          <w:rFonts w:ascii="Book Antiqua" w:hAnsi="Book Antiqua"/>
        </w:rPr>
        <w:t xml:space="preserve">s </w:t>
      </w:r>
      <w:r w:rsidR="001F2743">
        <w:rPr>
          <w:rFonts w:ascii="Book Antiqua" w:hAnsi="Book Antiqua"/>
        </w:rPr>
        <w:t>izvietot</w:t>
      </w:r>
      <w:r w:rsidR="005F7F0F" w:rsidRPr="005F7F0F">
        <w:rPr>
          <w:rFonts w:ascii="Book Antiqua" w:hAnsi="Book Antiqua"/>
        </w:rPr>
        <w:t xml:space="preserve"> </w:t>
      </w:r>
      <w:proofErr w:type="spellStart"/>
      <w:r w:rsidR="005F7F0F" w:rsidRPr="005F7F0F">
        <w:rPr>
          <w:rFonts w:ascii="Book Antiqua" w:hAnsi="Book Antiqua"/>
        </w:rPr>
        <w:t>termiņdepozītu</w:t>
      </w:r>
      <w:proofErr w:type="spellEnd"/>
      <w:r w:rsidR="005F7F0F" w:rsidRPr="005F7F0F">
        <w:rPr>
          <w:rFonts w:ascii="Book Antiqua" w:hAnsi="Book Antiqua"/>
        </w:rPr>
        <w:t xml:space="preserve"> tādēļ, ka nevar </w:t>
      </w:r>
      <w:r w:rsidR="004076B5">
        <w:rPr>
          <w:rFonts w:ascii="Book Antiqua" w:hAnsi="Book Antiqua"/>
        </w:rPr>
        <w:t>precīzi prognozēt brīdi</w:t>
      </w:r>
      <w:r w:rsidR="005F7F0F" w:rsidRPr="005F7F0F">
        <w:rPr>
          <w:rFonts w:ascii="Book Antiqua" w:hAnsi="Book Antiqua"/>
        </w:rPr>
        <w:t xml:space="preserve">, kad </w:t>
      </w:r>
      <w:r w:rsidR="004076B5">
        <w:rPr>
          <w:rFonts w:ascii="Book Antiqua" w:hAnsi="Book Antiqua"/>
        </w:rPr>
        <w:t>viņam</w:t>
      </w:r>
      <w:r w:rsidR="005F7F0F" w:rsidRPr="005F7F0F">
        <w:rPr>
          <w:rFonts w:ascii="Book Antiqua" w:hAnsi="Book Antiqua"/>
        </w:rPr>
        <w:t xml:space="preserve"> būs</w:t>
      </w:r>
      <w:r w:rsidR="005F7F0F">
        <w:rPr>
          <w:rFonts w:ascii="Book Antiqua" w:hAnsi="Book Antiqua"/>
        </w:rPr>
        <w:t xml:space="preserve"> </w:t>
      </w:r>
      <w:r w:rsidR="005F7F0F" w:rsidRPr="005F7F0F">
        <w:rPr>
          <w:rFonts w:ascii="Book Antiqua" w:hAnsi="Book Antiqua"/>
        </w:rPr>
        <w:t xml:space="preserve">nepieciešama </w:t>
      </w:r>
      <w:r w:rsidR="004076B5">
        <w:rPr>
          <w:rFonts w:ascii="Book Antiqua" w:hAnsi="Book Antiqua"/>
        </w:rPr>
        <w:t xml:space="preserve">noguldītā </w:t>
      </w:r>
      <w:r w:rsidR="005F7F0F" w:rsidRPr="005F7F0F">
        <w:rPr>
          <w:rFonts w:ascii="Book Antiqua" w:hAnsi="Book Antiqua"/>
        </w:rPr>
        <w:t xml:space="preserve">nauda, bet </w:t>
      </w:r>
      <w:proofErr w:type="gramStart"/>
      <w:r w:rsidR="005F7F0F" w:rsidRPr="005F7F0F">
        <w:rPr>
          <w:rFonts w:ascii="Book Antiqua" w:hAnsi="Book Antiqua"/>
        </w:rPr>
        <w:t>tajā pat laikā</w:t>
      </w:r>
      <w:proofErr w:type="gramEnd"/>
      <w:r w:rsidR="005F7F0F" w:rsidRPr="005F7F0F">
        <w:rPr>
          <w:rFonts w:ascii="Book Antiqua" w:hAnsi="Book Antiqua"/>
        </w:rPr>
        <w:t xml:space="preserve"> grib jau tagad saņemt peļņu no brīvajiem naudas</w:t>
      </w:r>
      <w:r w:rsidR="005F7F0F">
        <w:rPr>
          <w:rFonts w:ascii="Book Antiqua" w:hAnsi="Book Antiqua"/>
        </w:rPr>
        <w:t xml:space="preserve"> </w:t>
      </w:r>
      <w:r w:rsidR="005F7F0F" w:rsidRPr="005F7F0F">
        <w:rPr>
          <w:rFonts w:ascii="Book Antiqua" w:hAnsi="Book Antiqua"/>
        </w:rPr>
        <w:t xml:space="preserve">līdzekļiem, </w:t>
      </w:r>
      <w:r w:rsidR="004076B5">
        <w:rPr>
          <w:rFonts w:ascii="Book Antiqua" w:hAnsi="Book Antiqua"/>
        </w:rPr>
        <w:t>tiek piedāvāts</w:t>
      </w:r>
      <w:r w:rsidR="005F7F0F" w:rsidRPr="005F7F0F">
        <w:rPr>
          <w:rFonts w:ascii="Book Antiqua" w:hAnsi="Book Antiqua"/>
        </w:rPr>
        <w:t xml:space="preserve"> „zelta vidusceļ</w:t>
      </w:r>
      <w:r w:rsidR="004076B5">
        <w:rPr>
          <w:rFonts w:ascii="Book Antiqua" w:hAnsi="Book Antiqua"/>
        </w:rPr>
        <w:t>š</w:t>
      </w:r>
      <w:r w:rsidR="005F7F0F" w:rsidRPr="005F7F0F">
        <w:rPr>
          <w:rFonts w:ascii="Book Antiqua" w:hAnsi="Book Antiqua"/>
        </w:rPr>
        <w:t xml:space="preserve">”, proti, beztermiņa </w:t>
      </w:r>
      <w:r w:rsidR="004076B5">
        <w:rPr>
          <w:rFonts w:ascii="Book Antiqua" w:hAnsi="Book Antiqua"/>
        </w:rPr>
        <w:t>„</w:t>
      </w:r>
      <w:r w:rsidR="005F7F0F" w:rsidRPr="005F7F0F">
        <w:rPr>
          <w:rFonts w:ascii="Book Antiqua" w:hAnsi="Book Antiqua"/>
        </w:rPr>
        <w:t>Noguldījum</w:t>
      </w:r>
      <w:r w:rsidR="004076B5">
        <w:rPr>
          <w:rFonts w:ascii="Book Antiqua" w:hAnsi="Book Antiqua"/>
        </w:rPr>
        <w:t>s</w:t>
      </w:r>
      <w:r w:rsidR="005F7F0F" w:rsidRPr="005F7F0F">
        <w:rPr>
          <w:rFonts w:ascii="Book Antiqua" w:hAnsi="Book Antiqua"/>
        </w:rPr>
        <w:t xml:space="preserve"> 33</w:t>
      </w:r>
      <w:r w:rsidR="004076B5">
        <w:rPr>
          <w:rFonts w:ascii="Book Antiqua" w:hAnsi="Book Antiqua"/>
        </w:rPr>
        <w:t>”</w:t>
      </w:r>
      <w:r w:rsidR="005F7F0F" w:rsidRPr="005F7F0F">
        <w:rPr>
          <w:rFonts w:ascii="Book Antiqua" w:hAnsi="Book Antiqua"/>
        </w:rPr>
        <w:t xml:space="preserve">. </w:t>
      </w:r>
      <w:r w:rsidR="004076B5">
        <w:rPr>
          <w:rFonts w:ascii="Book Antiqua" w:hAnsi="Book Antiqua"/>
        </w:rPr>
        <w:t>Protams, n</w:t>
      </w:r>
      <w:r w:rsidR="005F7F0F" w:rsidRPr="005F7F0F">
        <w:rPr>
          <w:rFonts w:ascii="Book Antiqua" w:hAnsi="Book Antiqua"/>
        </w:rPr>
        <w:t xml:space="preserve">oguldījumu jebkurā brīdī </w:t>
      </w:r>
      <w:r w:rsidRPr="005F7F0F">
        <w:rPr>
          <w:rFonts w:ascii="Book Antiqua" w:hAnsi="Book Antiqua"/>
        </w:rPr>
        <w:t xml:space="preserve">var </w:t>
      </w:r>
      <w:r w:rsidR="005F7F0F" w:rsidRPr="005F7F0F">
        <w:rPr>
          <w:rFonts w:ascii="Book Antiqua" w:hAnsi="Book Antiqua"/>
        </w:rPr>
        <w:t>papildināt, un nopelnītie procenti reizi 3 mēnešos ti</w:t>
      </w:r>
      <w:r>
        <w:rPr>
          <w:rFonts w:ascii="Book Antiqua" w:hAnsi="Book Antiqua"/>
        </w:rPr>
        <w:t>e</w:t>
      </w:r>
      <w:r w:rsidR="005F7F0F" w:rsidRPr="005F7F0F">
        <w:rPr>
          <w:rFonts w:ascii="Book Antiqua" w:hAnsi="Book Antiqua"/>
        </w:rPr>
        <w:t>k kapitalizēti, tādējādi vēl vairāk palielinot sākotnēji noguldīto līdzekļu ienesīgumu.</w:t>
      </w:r>
    </w:p>
    <w:p w:rsidR="008B68A6" w:rsidRPr="008B68A6" w:rsidRDefault="008B68A6" w:rsidP="008B68A6">
      <w:pPr>
        <w:spacing w:after="0"/>
        <w:jc w:val="both"/>
        <w:rPr>
          <w:rFonts w:ascii="Book Antiqua" w:hAnsi="Book Antiqua"/>
          <w:u w:val="single"/>
        </w:rPr>
      </w:pPr>
    </w:p>
    <w:p w:rsidR="008B68A6" w:rsidRPr="008B68A6" w:rsidRDefault="008B68A6" w:rsidP="008B68A6">
      <w:pPr>
        <w:spacing w:after="0"/>
        <w:jc w:val="both"/>
        <w:rPr>
          <w:rFonts w:ascii="Book Antiqua" w:hAnsi="Book Antiqua"/>
          <w:u w:val="single"/>
        </w:rPr>
      </w:pPr>
      <w:r w:rsidRPr="008B68A6">
        <w:rPr>
          <w:rFonts w:ascii="Book Antiqua" w:hAnsi="Book Antiqua"/>
          <w:u w:val="single"/>
        </w:rPr>
        <w:t>Ieguvums klientiem - privātpersonām</w:t>
      </w:r>
    </w:p>
    <w:p w:rsidR="008B68A6" w:rsidRDefault="007E650B" w:rsidP="007E650B">
      <w:pPr>
        <w:spacing w:after="0"/>
        <w:jc w:val="both"/>
        <w:rPr>
          <w:rFonts w:ascii="Book Antiqua" w:hAnsi="Book Antiqua"/>
        </w:rPr>
      </w:pPr>
      <w:r>
        <w:rPr>
          <w:rFonts w:ascii="Book Antiqua" w:hAnsi="Book Antiqua"/>
        </w:rPr>
        <w:t>P</w:t>
      </w:r>
      <w:r w:rsidR="008B68A6">
        <w:rPr>
          <w:rFonts w:ascii="Book Antiqua" w:hAnsi="Book Antiqua"/>
        </w:rPr>
        <w:t>lānojot lielākus pirkumus (automašīnas, mājokļa iegāde) par saviem līdzekļiem, nereti precīzu pirkuma brīdi ir grūti paredzēt (piemēram, atbilstoši pētījumiem, šobrīd mājokļa iegāde var aizņemt 6 – 24 mēnešus). Tādejādi, klients ir spiest</w:t>
      </w:r>
      <w:r w:rsidR="008A7AC3">
        <w:rPr>
          <w:rFonts w:ascii="Book Antiqua" w:hAnsi="Book Antiqua"/>
        </w:rPr>
        <w:t>s</w:t>
      </w:r>
      <w:r w:rsidR="008B68A6">
        <w:rPr>
          <w:rFonts w:ascii="Book Antiqua" w:hAnsi="Book Antiqua"/>
        </w:rPr>
        <w:t xml:space="preserve"> darījumam paredzētos līdzekļus turēt</w:t>
      </w:r>
      <w:r w:rsidR="008A7AC3">
        <w:rPr>
          <w:rFonts w:ascii="Book Antiqua" w:hAnsi="Book Antiqua"/>
        </w:rPr>
        <w:t xml:space="preserve"> norēķinu</w:t>
      </w:r>
      <w:r w:rsidR="008B68A6">
        <w:rPr>
          <w:rFonts w:ascii="Book Antiqua" w:hAnsi="Book Antiqua"/>
        </w:rPr>
        <w:t xml:space="preserve"> kontā vai mazienesīgajā krājkontā. Savukārt, gadījumā, ja līdzekļi ir izvietoti </w:t>
      </w:r>
      <w:proofErr w:type="spellStart"/>
      <w:r w:rsidR="008B68A6">
        <w:rPr>
          <w:rFonts w:ascii="Book Antiqua" w:hAnsi="Book Antiqua"/>
        </w:rPr>
        <w:t>termiņdepozītā</w:t>
      </w:r>
      <w:proofErr w:type="spellEnd"/>
      <w:r w:rsidR="008B68A6">
        <w:rPr>
          <w:rFonts w:ascii="Book Antiqua" w:hAnsi="Book Antiqua"/>
        </w:rPr>
        <w:t xml:space="preserve">, </w:t>
      </w:r>
      <w:r>
        <w:rPr>
          <w:rFonts w:ascii="Book Antiqua" w:hAnsi="Book Antiqua"/>
        </w:rPr>
        <w:t>tā pirmstermiņa pārtraukšana saistās ar samazinātu procentu likmi un iespējamām soda sankcijām.</w:t>
      </w:r>
      <w:r w:rsidR="008A7AC3">
        <w:rPr>
          <w:rFonts w:ascii="Book Antiqua" w:hAnsi="Book Antiqua"/>
        </w:rPr>
        <w:t xml:space="preserve"> Klientam tas nozīmē neiegūtus ienākumus no šo līdzekļu izvietošanas. „Noguldījums 33” sniedz iespēju saņemt ievērojamus procentus par šiem līdzekļiem, tajā par laikā saglabājot iespēju izmantot tos tiklīdz tas kļūst nepieciešams.</w:t>
      </w:r>
    </w:p>
    <w:p w:rsidR="001E4173" w:rsidRDefault="001E4173" w:rsidP="007E650B">
      <w:pPr>
        <w:spacing w:after="0"/>
        <w:jc w:val="both"/>
        <w:rPr>
          <w:rFonts w:ascii="Book Antiqua" w:hAnsi="Book Antiqua"/>
        </w:rPr>
      </w:pPr>
    </w:p>
    <w:p w:rsidR="002D79AA" w:rsidRPr="003736CE" w:rsidRDefault="002D79AA" w:rsidP="002D79AA">
      <w:pPr>
        <w:spacing w:after="0"/>
        <w:jc w:val="both"/>
        <w:rPr>
          <w:rFonts w:ascii="Book Antiqua" w:hAnsi="Book Antiqua"/>
          <w:u w:val="single"/>
        </w:rPr>
      </w:pPr>
      <w:r>
        <w:rPr>
          <w:rFonts w:ascii="Book Antiqua" w:hAnsi="Book Antiqua"/>
          <w:u w:val="single"/>
        </w:rPr>
        <w:t>Oriģinalitāte</w:t>
      </w:r>
    </w:p>
    <w:p w:rsidR="00DC3B6F" w:rsidRDefault="002D79AA" w:rsidP="00DC3B6F">
      <w:pPr>
        <w:spacing w:after="0"/>
        <w:jc w:val="both"/>
        <w:rPr>
          <w:rFonts w:ascii="Book Antiqua" w:hAnsi="Book Antiqua"/>
        </w:rPr>
      </w:pPr>
      <w:r>
        <w:rPr>
          <w:rFonts w:ascii="Book Antiqua" w:hAnsi="Book Antiqua"/>
        </w:rPr>
        <w:t>Šāds produkts vai produkts ar līdzīgiem nosacījumiem netiek piedāvāts citās Latvijas komercbankās.</w:t>
      </w:r>
      <w:proofErr w:type="gramStart"/>
      <w:r>
        <w:rPr>
          <w:rFonts w:ascii="Book Antiqua" w:hAnsi="Book Antiqua"/>
        </w:rPr>
        <w:t xml:space="preserve">  </w:t>
      </w:r>
      <w:proofErr w:type="gramEnd"/>
    </w:p>
    <w:p w:rsidR="00DC3B6F" w:rsidRPr="00DC3B6F" w:rsidRDefault="00DC3B6F" w:rsidP="00DC3B6F">
      <w:pPr>
        <w:spacing w:after="0"/>
        <w:jc w:val="both"/>
        <w:rPr>
          <w:rFonts w:ascii="Book Antiqua" w:hAnsi="Book Antiqua"/>
        </w:rPr>
      </w:pPr>
    </w:p>
    <w:p w:rsidR="001E4173" w:rsidRPr="001E4173" w:rsidRDefault="001E4173" w:rsidP="007E650B">
      <w:pPr>
        <w:spacing w:after="0"/>
        <w:jc w:val="both"/>
        <w:rPr>
          <w:rFonts w:ascii="Book Antiqua" w:hAnsi="Book Antiqua"/>
          <w:u w:val="single"/>
        </w:rPr>
      </w:pPr>
      <w:r w:rsidRPr="001E4173">
        <w:rPr>
          <w:rFonts w:ascii="Book Antiqua" w:hAnsi="Book Antiqua"/>
          <w:u w:val="single"/>
        </w:rPr>
        <w:t>Ieguvums ekonomikai</w:t>
      </w:r>
    </w:p>
    <w:p w:rsidR="00962369" w:rsidRDefault="001F2743" w:rsidP="002D79AA">
      <w:pPr>
        <w:spacing w:after="0"/>
        <w:jc w:val="both"/>
        <w:rPr>
          <w:rFonts w:ascii="Book Antiqua" w:hAnsi="Book Antiqua"/>
          <w:u w:val="single"/>
        </w:rPr>
      </w:pPr>
      <w:r>
        <w:rPr>
          <w:rFonts w:ascii="Book Antiqua" w:hAnsi="Book Antiqua"/>
        </w:rPr>
        <w:t>Klientu</w:t>
      </w:r>
      <w:r w:rsidR="001E4173">
        <w:rPr>
          <w:rFonts w:ascii="Book Antiqua" w:hAnsi="Book Antiqua"/>
        </w:rPr>
        <w:t xml:space="preserve"> līdzekļu izvieto</w:t>
      </w:r>
      <w:r>
        <w:rPr>
          <w:rFonts w:ascii="Book Antiqua" w:hAnsi="Book Antiqua"/>
        </w:rPr>
        <w:t>šana</w:t>
      </w:r>
      <w:r w:rsidR="001E4173">
        <w:rPr>
          <w:rFonts w:ascii="Book Antiqua" w:hAnsi="Book Antiqua"/>
        </w:rPr>
        <w:t xml:space="preserve"> „Noguldījums 33” </w:t>
      </w:r>
      <w:r>
        <w:rPr>
          <w:rFonts w:ascii="Book Antiqua" w:hAnsi="Book Antiqua"/>
        </w:rPr>
        <w:t xml:space="preserve">programmas </w:t>
      </w:r>
      <w:r w:rsidR="001E4173">
        <w:rPr>
          <w:rFonts w:ascii="Book Antiqua" w:hAnsi="Book Antiqua"/>
        </w:rPr>
        <w:t xml:space="preserve">ietvaros pretstatā </w:t>
      </w:r>
      <w:r>
        <w:rPr>
          <w:rFonts w:ascii="Book Antiqua" w:hAnsi="Book Antiqua"/>
        </w:rPr>
        <w:t xml:space="preserve">līdzekļiem klientu </w:t>
      </w:r>
      <w:r w:rsidR="001E4173">
        <w:rPr>
          <w:rFonts w:ascii="Book Antiqua" w:hAnsi="Book Antiqua"/>
        </w:rPr>
        <w:t>norēķinu kont</w:t>
      </w:r>
      <w:r>
        <w:rPr>
          <w:rFonts w:ascii="Book Antiqua" w:hAnsi="Book Antiqua"/>
        </w:rPr>
        <w:t>ā</w:t>
      </w:r>
      <w:r w:rsidR="001E4173">
        <w:rPr>
          <w:rFonts w:ascii="Book Antiqua" w:hAnsi="Book Antiqua"/>
        </w:rPr>
        <w:t xml:space="preserve"> paaugstina bankas likviditātes rādītājus un ļauj aktīvāk kreditēt perspektīvus Latvijas uzņēmumus, kas</w:t>
      </w:r>
      <w:proofErr w:type="gramStart"/>
      <w:r w:rsidR="001E4173">
        <w:rPr>
          <w:rFonts w:ascii="Book Antiqua" w:hAnsi="Book Antiqua"/>
        </w:rPr>
        <w:t>, savukārt</w:t>
      </w:r>
      <w:r>
        <w:rPr>
          <w:rFonts w:ascii="Book Antiqua" w:hAnsi="Book Antiqua"/>
        </w:rPr>
        <w:t>,</w:t>
      </w:r>
      <w:proofErr w:type="gramEnd"/>
      <w:r w:rsidR="001E4173">
        <w:rPr>
          <w:rFonts w:ascii="Book Antiqua" w:hAnsi="Book Antiqua"/>
        </w:rPr>
        <w:t xml:space="preserve"> ietekmē </w:t>
      </w:r>
      <w:r>
        <w:rPr>
          <w:rFonts w:ascii="Book Antiqua" w:hAnsi="Book Antiqua"/>
        </w:rPr>
        <w:t>Latvijas ekonomikas</w:t>
      </w:r>
      <w:r w:rsidR="001E4173">
        <w:rPr>
          <w:rFonts w:ascii="Book Antiqua" w:hAnsi="Book Antiqua"/>
        </w:rPr>
        <w:t xml:space="preserve"> izaugsmi.</w:t>
      </w:r>
      <w:r w:rsidR="002D79AA">
        <w:rPr>
          <w:rFonts w:ascii="Book Antiqua" w:hAnsi="Book Antiqua"/>
        </w:rPr>
        <w:t xml:space="preserve"> Turklāt, procentu ienākumi, kas gūti no līdzekļu izvietošanas „Noguldījums 33”</w:t>
      </w:r>
      <w:r w:rsidR="00DC3B6F">
        <w:rPr>
          <w:rFonts w:ascii="Book Antiqua" w:hAnsi="Book Antiqua"/>
        </w:rPr>
        <w:t>,</w:t>
      </w:r>
      <w:r w:rsidR="002D79AA">
        <w:rPr>
          <w:rFonts w:ascii="Book Antiqua" w:hAnsi="Book Antiqua"/>
        </w:rPr>
        <w:t xml:space="preserve"> tiek aplikti ar iedzīvotāju ienākumu nodokli un, tādejādi, ievērojami papildina Latvijas budžetu.</w:t>
      </w:r>
    </w:p>
    <w:p w:rsidR="00410A95" w:rsidRDefault="00410A95" w:rsidP="00962369">
      <w:pPr>
        <w:spacing w:after="0"/>
        <w:jc w:val="both"/>
        <w:rPr>
          <w:rFonts w:ascii="Book Antiqua" w:hAnsi="Book Antiqua"/>
        </w:rPr>
      </w:pPr>
    </w:p>
    <w:p w:rsidR="00410A95" w:rsidRDefault="00410A95" w:rsidP="00962369">
      <w:pPr>
        <w:spacing w:after="0"/>
        <w:jc w:val="both"/>
        <w:rPr>
          <w:rFonts w:ascii="Book Antiqua" w:hAnsi="Book Antiqua"/>
          <w:u w:val="single"/>
        </w:rPr>
      </w:pPr>
      <w:r>
        <w:rPr>
          <w:rFonts w:ascii="Book Antiqua" w:hAnsi="Book Antiqua"/>
          <w:u w:val="single"/>
        </w:rPr>
        <w:t>Starptautiskās pieredzes un zināšanu pārnese</w:t>
      </w:r>
    </w:p>
    <w:p w:rsidR="00410A95" w:rsidRDefault="00410A95" w:rsidP="00962369">
      <w:pPr>
        <w:spacing w:after="0"/>
        <w:jc w:val="both"/>
        <w:rPr>
          <w:rFonts w:ascii="Book Antiqua" w:hAnsi="Book Antiqua"/>
          <w:u w:val="single"/>
        </w:rPr>
      </w:pPr>
    </w:p>
    <w:p w:rsidR="00962369" w:rsidRDefault="00410A95" w:rsidP="00962369">
      <w:pPr>
        <w:spacing w:after="0"/>
        <w:jc w:val="both"/>
        <w:rPr>
          <w:rFonts w:ascii="Book Antiqua" w:hAnsi="Book Antiqua"/>
        </w:rPr>
      </w:pPr>
      <w:r>
        <w:rPr>
          <w:rFonts w:ascii="Book Antiqua" w:hAnsi="Book Antiqua"/>
        </w:rPr>
        <w:lastRenderedPageBreak/>
        <w:t xml:space="preserve">Tā kā </w:t>
      </w:r>
      <w:proofErr w:type="spellStart"/>
      <w:r>
        <w:rPr>
          <w:rFonts w:ascii="Book Antiqua" w:hAnsi="Book Antiqua"/>
        </w:rPr>
        <w:t>Baltic</w:t>
      </w:r>
      <w:proofErr w:type="spellEnd"/>
      <w:r>
        <w:rPr>
          <w:rFonts w:ascii="Book Antiqua" w:hAnsi="Book Antiqua"/>
        </w:rPr>
        <w:t xml:space="preserve"> </w:t>
      </w:r>
      <w:proofErr w:type="spellStart"/>
      <w:r>
        <w:rPr>
          <w:rFonts w:ascii="Book Antiqua" w:hAnsi="Book Antiqua"/>
        </w:rPr>
        <w:t>International</w:t>
      </w:r>
      <w:proofErr w:type="spellEnd"/>
      <w:r>
        <w:rPr>
          <w:rFonts w:ascii="Book Antiqua" w:hAnsi="Book Antiqua"/>
        </w:rPr>
        <w:t xml:space="preserve"> </w:t>
      </w:r>
      <w:proofErr w:type="spellStart"/>
      <w:r>
        <w:rPr>
          <w:rFonts w:ascii="Book Antiqua" w:hAnsi="Book Antiqua"/>
        </w:rPr>
        <w:t>Bank</w:t>
      </w:r>
      <w:proofErr w:type="spellEnd"/>
      <w:r>
        <w:rPr>
          <w:rFonts w:ascii="Book Antiqua" w:hAnsi="Book Antiqua"/>
        </w:rPr>
        <w:t xml:space="preserve"> n</w:t>
      </w:r>
      <w:r w:rsidRPr="003A0202">
        <w:rPr>
          <w:rFonts w:ascii="Book Antiqua" w:hAnsi="Book Antiqua"/>
        </w:rPr>
        <w:t xml:space="preserve">o visām Latvijas bankām </w:t>
      </w:r>
      <w:r>
        <w:rPr>
          <w:rFonts w:ascii="Book Antiqua" w:hAnsi="Book Antiqua"/>
        </w:rPr>
        <w:t>ir</w:t>
      </w:r>
      <w:r w:rsidRPr="003A0202">
        <w:rPr>
          <w:rFonts w:ascii="Book Antiqua" w:hAnsi="Book Antiqua"/>
        </w:rPr>
        <w:t xml:space="preserve"> vienīgie, kuriem ir </w:t>
      </w:r>
      <w:r w:rsidR="003A0202" w:rsidRPr="003A0202">
        <w:rPr>
          <w:rFonts w:ascii="Book Antiqua" w:hAnsi="Book Antiqua"/>
        </w:rPr>
        <w:t xml:space="preserve">sava bankas pārstāvniecība Lielbritānijā, par vienu no saviem </w:t>
      </w:r>
      <w:r w:rsidR="003A0202">
        <w:rPr>
          <w:rFonts w:ascii="Book Antiqua" w:hAnsi="Book Antiqua"/>
        </w:rPr>
        <w:t xml:space="preserve">uzdevumiem Banka izvirza zināšanu un pieredzes pārnesi no starptautiskā finanšu centra Londonā uz Baltijas finanšu centru </w:t>
      </w:r>
      <w:r w:rsidR="00E20A1A">
        <w:rPr>
          <w:rFonts w:ascii="Book Antiqua" w:hAnsi="Book Antiqua"/>
        </w:rPr>
        <w:t>Rīgā</w:t>
      </w:r>
      <w:r w:rsidR="003A0202">
        <w:rPr>
          <w:rFonts w:ascii="Book Antiqua" w:hAnsi="Book Antiqua"/>
        </w:rPr>
        <w:t xml:space="preserve">. Līdz ar </w:t>
      </w:r>
      <w:proofErr w:type="spellStart"/>
      <w:r w:rsidR="003A0202">
        <w:rPr>
          <w:rFonts w:ascii="Book Antiqua" w:hAnsi="Book Antiqua"/>
        </w:rPr>
        <w:t>Baltic</w:t>
      </w:r>
      <w:proofErr w:type="spellEnd"/>
      <w:r w:rsidR="003A0202">
        <w:rPr>
          <w:rFonts w:ascii="Book Antiqua" w:hAnsi="Book Antiqua"/>
        </w:rPr>
        <w:t xml:space="preserve"> </w:t>
      </w:r>
      <w:proofErr w:type="spellStart"/>
      <w:r w:rsidR="003A0202">
        <w:rPr>
          <w:rFonts w:ascii="Book Antiqua" w:hAnsi="Book Antiqua"/>
        </w:rPr>
        <w:t>International</w:t>
      </w:r>
      <w:proofErr w:type="spellEnd"/>
      <w:r w:rsidR="003A0202">
        <w:rPr>
          <w:rFonts w:ascii="Book Antiqua" w:hAnsi="Book Antiqua"/>
        </w:rPr>
        <w:t xml:space="preserve"> </w:t>
      </w:r>
      <w:proofErr w:type="spellStart"/>
      <w:r w:rsidR="003A0202">
        <w:rPr>
          <w:rFonts w:ascii="Book Antiqua" w:hAnsi="Book Antiqua"/>
        </w:rPr>
        <w:t>Bank</w:t>
      </w:r>
      <w:proofErr w:type="spellEnd"/>
      <w:r w:rsidR="003A0202">
        <w:rPr>
          <w:rFonts w:ascii="Book Antiqua" w:hAnsi="Book Antiqua"/>
        </w:rPr>
        <w:t xml:space="preserve"> produkta „Noguldījums 33” ieviešanu, tagad arī Latvijā klientiem ir pieejams Lielbritānijā ļoti aktīvi izmantotais produkts „</w:t>
      </w:r>
      <w:r w:rsidR="00962369" w:rsidRPr="009D65C0">
        <w:rPr>
          <w:rFonts w:ascii="Book Antiqua" w:hAnsi="Book Antiqua"/>
          <w:i/>
        </w:rPr>
        <w:t xml:space="preserve">30 </w:t>
      </w:r>
      <w:proofErr w:type="spellStart"/>
      <w:r w:rsidR="00962369" w:rsidRPr="009D65C0">
        <w:rPr>
          <w:rFonts w:ascii="Book Antiqua" w:hAnsi="Book Antiqua"/>
          <w:i/>
        </w:rPr>
        <w:t>Day</w:t>
      </w:r>
      <w:proofErr w:type="spellEnd"/>
      <w:r w:rsidR="00962369" w:rsidRPr="009D65C0">
        <w:rPr>
          <w:rFonts w:ascii="Book Antiqua" w:hAnsi="Book Antiqua"/>
          <w:i/>
        </w:rPr>
        <w:t xml:space="preserve"> </w:t>
      </w:r>
      <w:proofErr w:type="spellStart"/>
      <w:r w:rsidR="00962369" w:rsidRPr="009D65C0">
        <w:rPr>
          <w:rFonts w:ascii="Book Antiqua" w:hAnsi="Book Antiqua"/>
          <w:i/>
        </w:rPr>
        <w:t>Notice</w:t>
      </w:r>
      <w:proofErr w:type="spellEnd"/>
      <w:r w:rsidR="00962369" w:rsidRPr="009D65C0">
        <w:rPr>
          <w:rFonts w:ascii="Book Antiqua" w:hAnsi="Book Antiqua"/>
          <w:i/>
        </w:rPr>
        <w:t xml:space="preserve"> </w:t>
      </w:r>
      <w:proofErr w:type="spellStart"/>
      <w:r w:rsidR="00962369" w:rsidRPr="009D65C0">
        <w:rPr>
          <w:rFonts w:ascii="Book Antiqua" w:hAnsi="Book Antiqua"/>
          <w:i/>
        </w:rPr>
        <w:t>Account</w:t>
      </w:r>
      <w:proofErr w:type="spellEnd"/>
      <w:r w:rsidR="003A0202">
        <w:rPr>
          <w:rFonts w:ascii="Book Antiqua" w:hAnsi="Book Antiqua"/>
        </w:rPr>
        <w:t>”</w:t>
      </w:r>
      <w:r w:rsidR="00962369">
        <w:rPr>
          <w:rFonts w:ascii="Book Antiqua" w:hAnsi="Book Antiqua"/>
        </w:rPr>
        <w:t>.</w:t>
      </w:r>
    </w:p>
    <w:p w:rsidR="00A94700" w:rsidRDefault="00A94700" w:rsidP="00962369">
      <w:pPr>
        <w:spacing w:after="0"/>
        <w:jc w:val="both"/>
        <w:rPr>
          <w:rFonts w:ascii="Book Antiqua" w:hAnsi="Book Antiqua"/>
        </w:rPr>
      </w:pPr>
    </w:p>
    <w:p w:rsidR="002D79AA" w:rsidRDefault="002D79AA" w:rsidP="00962369">
      <w:pPr>
        <w:spacing w:after="0"/>
        <w:jc w:val="both"/>
        <w:rPr>
          <w:rFonts w:ascii="Book Antiqua" w:hAnsi="Book Antiqua"/>
          <w:u w:val="single"/>
        </w:rPr>
      </w:pPr>
      <w:r w:rsidRPr="00E20A1A">
        <w:rPr>
          <w:rFonts w:ascii="Book Antiqua" w:hAnsi="Book Antiqua"/>
          <w:u w:val="single"/>
        </w:rPr>
        <w:t>Eksporta potenciāls</w:t>
      </w:r>
    </w:p>
    <w:p w:rsidR="001E2308" w:rsidRPr="00DC3B6F" w:rsidRDefault="00DC3B6F" w:rsidP="00962369">
      <w:pPr>
        <w:spacing w:after="0"/>
        <w:jc w:val="both"/>
        <w:rPr>
          <w:rFonts w:ascii="Book Antiqua" w:hAnsi="Book Antiqua"/>
        </w:rPr>
      </w:pPr>
      <w:r>
        <w:rPr>
          <w:rFonts w:ascii="Book Antiqua" w:hAnsi="Book Antiqua"/>
        </w:rPr>
        <w:t xml:space="preserve">Klienti no Ukrainas, Krievijas un citām NVS valstīm, bažījoties par savu noguldījumu likviditāti, nereti </w:t>
      </w:r>
      <w:proofErr w:type="spellStart"/>
      <w:r>
        <w:rPr>
          <w:rFonts w:ascii="Book Antiqua" w:hAnsi="Book Antiqua"/>
        </w:rPr>
        <w:t>termiņdepozītu</w:t>
      </w:r>
      <w:proofErr w:type="spellEnd"/>
      <w:r>
        <w:rPr>
          <w:rFonts w:ascii="Book Antiqua" w:hAnsi="Book Antiqua"/>
        </w:rPr>
        <w:t xml:space="preserve"> vietā izvēlās naudu glabāt norēķinu kontā, lai nepieciešamības gadījumā to varētu izmantot savām vajadzībām. „Noguldījums 33”, ļaujot ar šiem līdzekļiem arī nopelnīt, ir izdevīgs piedāvājums ārzemju klientiem, kas nav viņiem pieejams vietējā (NVS) tirgū.</w:t>
      </w:r>
    </w:p>
    <w:p w:rsidR="002D79AA" w:rsidRDefault="002D79AA" w:rsidP="00962369">
      <w:pPr>
        <w:spacing w:after="0"/>
        <w:jc w:val="both"/>
        <w:rPr>
          <w:rFonts w:ascii="Book Antiqua" w:hAnsi="Book Antiqua"/>
        </w:rPr>
      </w:pPr>
    </w:p>
    <w:p w:rsidR="00A94700" w:rsidRPr="00A94700" w:rsidRDefault="00A94700" w:rsidP="00962369">
      <w:pPr>
        <w:spacing w:after="0"/>
        <w:jc w:val="both"/>
        <w:rPr>
          <w:rFonts w:ascii="Book Antiqua" w:hAnsi="Book Antiqua"/>
          <w:u w:val="single"/>
        </w:rPr>
      </w:pPr>
      <w:r w:rsidRPr="00A94700">
        <w:rPr>
          <w:rFonts w:ascii="Book Antiqua" w:hAnsi="Book Antiqua"/>
          <w:u w:val="single"/>
        </w:rPr>
        <w:t>Vienkāršība, lietošanas ērtums</w:t>
      </w:r>
    </w:p>
    <w:p w:rsidR="00A94700" w:rsidRDefault="00A94700" w:rsidP="00962369">
      <w:pPr>
        <w:spacing w:after="0"/>
        <w:jc w:val="both"/>
        <w:rPr>
          <w:rFonts w:ascii="Book Antiqua" w:hAnsi="Book Antiqua"/>
        </w:rPr>
      </w:pPr>
      <w:r>
        <w:rPr>
          <w:rFonts w:ascii="Book Antiqua" w:hAnsi="Book Antiqua"/>
        </w:rPr>
        <w:t>Produkts ir vienkāršs lietošanā, tā izmantošanu var pieteikt internetbankā. Depozīta konta atvēršana ir bezmaksas.</w:t>
      </w:r>
    </w:p>
    <w:p w:rsidR="00962369" w:rsidRDefault="00962369" w:rsidP="00962369">
      <w:pPr>
        <w:spacing w:after="0"/>
        <w:jc w:val="both"/>
        <w:rPr>
          <w:rFonts w:ascii="Book Antiqua" w:hAnsi="Book Antiqua"/>
        </w:rPr>
      </w:pPr>
    </w:p>
    <w:p w:rsidR="009D65C0" w:rsidRPr="009E4117" w:rsidRDefault="00B03EA8" w:rsidP="009E4117">
      <w:pPr>
        <w:rPr>
          <w:rFonts w:ascii="Book Antiqua" w:hAnsi="Book Antiqua"/>
          <w:u w:val="single"/>
        </w:rPr>
      </w:pPr>
      <w:r>
        <w:rPr>
          <w:rFonts w:ascii="Book Antiqua" w:hAnsi="Book Antiqua"/>
          <w:u w:val="single"/>
        </w:rPr>
        <w:t>Produkta priekšrocības</w:t>
      </w:r>
      <w:r w:rsidR="009E4117">
        <w:rPr>
          <w:rFonts w:ascii="Book Antiqua" w:hAnsi="Book Antiqua"/>
          <w:u w:val="single"/>
        </w:rPr>
        <w:br/>
      </w:r>
      <w:r w:rsidR="00962369" w:rsidRPr="009D65C0">
        <w:rPr>
          <w:rFonts w:ascii="Book Antiqua" w:hAnsi="Book Antiqua"/>
        </w:rPr>
        <w:t>„Noguldījum</w:t>
      </w:r>
      <w:r w:rsidR="009D65C0" w:rsidRPr="009D65C0">
        <w:rPr>
          <w:rFonts w:ascii="Book Antiqua" w:hAnsi="Book Antiqua"/>
        </w:rPr>
        <w:t>s</w:t>
      </w:r>
      <w:r w:rsidR="00962369" w:rsidRPr="009D65C0">
        <w:rPr>
          <w:rFonts w:ascii="Book Antiqua" w:hAnsi="Book Antiqua"/>
        </w:rPr>
        <w:t xml:space="preserve"> 33</w:t>
      </w:r>
      <w:r w:rsidR="003A0202">
        <w:rPr>
          <w:rFonts w:ascii="Book Antiqua" w:hAnsi="Book Antiqua"/>
        </w:rPr>
        <w:t xml:space="preserve">” </w:t>
      </w:r>
      <w:r w:rsidR="002A277B">
        <w:rPr>
          <w:rFonts w:ascii="Book Antiqua" w:hAnsi="Book Antiqua"/>
        </w:rPr>
        <w:t>risin</w:t>
      </w:r>
      <w:r w:rsidR="003A0202">
        <w:rPr>
          <w:rFonts w:ascii="Book Antiqua" w:hAnsi="Book Antiqua"/>
        </w:rPr>
        <w:t>a</w:t>
      </w:r>
      <w:r w:rsidR="002A277B">
        <w:rPr>
          <w:rFonts w:ascii="Book Antiqua" w:hAnsi="Book Antiqua"/>
        </w:rPr>
        <w:t xml:space="preserve"> vairākas problēmas, ar kurām klienti var saskarties, </w:t>
      </w:r>
      <w:r w:rsidR="003A0202">
        <w:rPr>
          <w:rFonts w:ascii="Book Antiqua" w:hAnsi="Book Antiqua"/>
        </w:rPr>
        <w:t xml:space="preserve">piemēram, </w:t>
      </w:r>
      <w:r w:rsidR="002A277B">
        <w:rPr>
          <w:rFonts w:ascii="Book Antiqua" w:hAnsi="Book Antiqua"/>
        </w:rPr>
        <w:t>izmant</w:t>
      </w:r>
      <w:r w:rsidR="009301FC">
        <w:rPr>
          <w:rFonts w:ascii="Book Antiqua" w:hAnsi="Book Antiqua"/>
        </w:rPr>
        <w:t>ojot standarta noguldījumu</w:t>
      </w:r>
      <w:r w:rsidR="003A0202">
        <w:rPr>
          <w:rFonts w:ascii="Book Antiqua" w:hAnsi="Book Antiqua"/>
        </w:rPr>
        <w:t>s</w:t>
      </w:r>
      <w:r w:rsidR="009301FC">
        <w:rPr>
          <w:rFonts w:ascii="Book Antiqua" w:hAnsi="Book Antiqua"/>
        </w:rPr>
        <w:t>:</w:t>
      </w:r>
    </w:p>
    <w:tbl>
      <w:tblPr>
        <w:tblStyle w:val="TableGrid"/>
        <w:tblW w:w="0" w:type="auto"/>
        <w:tblLook w:val="04A0" w:firstRow="1" w:lastRow="0" w:firstColumn="1" w:lastColumn="0" w:noHBand="0" w:noVBand="1"/>
      </w:tblPr>
      <w:tblGrid>
        <w:gridCol w:w="4952"/>
        <w:gridCol w:w="4953"/>
      </w:tblGrid>
      <w:tr w:rsidR="002A277B" w:rsidTr="002A277B">
        <w:tc>
          <w:tcPr>
            <w:tcW w:w="4952" w:type="dxa"/>
          </w:tcPr>
          <w:p w:rsidR="002A277B" w:rsidRPr="003A0202" w:rsidRDefault="002A277B" w:rsidP="009D65C0">
            <w:pPr>
              <w:jc w:val="both"/>
              <w:rPr>
                <w:rFonts w:ascii="Book Antiqua" w:hAnsi="Book Antiqua"/>
                <w:b/>
                <w:i/>
              </w:rPr>
            </w:pPr>
            <w:r w:rsidRPr="003A0202">
              <w:rPr>
                <w:rFonts w:ascii="Book Antiqua" w:hAnsi="Book Antiqua"/>
                <w:b/>
                <w:i/>
              </w:rPr>
              <w:t>Problēma</w:t>
            </w:r>
          </w:p>
        </w:tc>
        <w:tc>
          <w:tcPr>
            <w:tcW w:w="4953" w:type="dxa"/>
          </w:tcPr>
          <w:p w:rsidR="002A277B" w:rsidRPr="003A0202" w:rsidRDefault="002A277B" w:rsidP="009D65C0">
            <w:pPr>
              <w:jc w:val="both"/>
              <w:rPr>
                <w:rFonts w:ascii="Book Antiqua" w:hAnsi="Book Antiqua"/>
                <w:b/>
                <w:i/>
              </w:rPr>
            </w:pPr>
            <w:r w:rsidRPr="003A0202">
              <w:rPr>
                <w:rFonts w:ascii="Book Antiqua" w:hAnsi="Book Antiqua"/>
                <w:b/>
                <w:i/>
              </w:rPr>
              <w:t>Risinājums</w:t>
            </w:r>
          </w:p>
        </w:tc>
      </w:tr>
      <w:tr w:rsidR="002A277B" w:rsidRPr="002D79AA" w:rsidTr="002A277B">
        <w:tc>
          <w:tcPr>
            <w:tcW w:w="4952" w:type="dxa"/>
          </w:tcPr>
          <w:p w:rsidR="002A277B" w:rsidRDefault="002A277B" w:rsidP="002A277B">
            <w:pPr>
              <w:jc w:val="both"/>
              <w:rPr>
                <w:rFonts w:ascii="Book Antiqua" w:hAnsi="Book Antiqua"/>
              </w:rPr>
            </w:pPr>
            <w:r>
              <w:rPr>
                <w:rFonts w:ascii="Book Antiqua" w:hAnsi="Book Antiqua"/>
              </w:rPr>
              <w:t>Klientam jāatceras noguldījuma beigu datums, lai izmantotu iespēju to izvietot atkārtoti</w:t>
            </w:r>
          </w:p>
        </w:tc>
        <w:tc>
          <w:tcPr>
            <w:tcW w:w="4953" w:type="dxa"/>
          </w:tcPr>
          <w:p w:rsidR="002A277B" w:rsidRDefault="002A277B" w:rsidP="009D65C0">
            <w:pPr>
              <w:jc w:val="both"/>
              <w:rPr>
                <w:rFonts w:ascii="Book Antiqua" w:hAnsi="Book Antiqua"/>
              </w:rPr>
            </w:pPr>
            <w:r w:rsidRPr="009D65C0">
              <w:rPr>
                <w:rFonts w:ascii="Book Antiqua" w:hAnsi="Book Antiqua"/>
              </w:rPr>
              <w:t xml:space="preserve">„Noguldījums 33” ir beztermiņa naudas noguldījuma veids, </w:t>
            </w:r>
            <w:proofErr w:type="gramStart"/>
            <w:r w:rsidRPr="009D65C0">
              <w:rPr>
                <w:rFonts w:ascii="Book Antiqua" w:hAnsi="Book Antiqua"/>
              </w:rPr>
              <w:t>t.i.</w:t>
            </w:r>
            <w:proofErr w:type="gramEnd"/>
            <w:r w:rsidRPr="009D65C0">
              <w:rPr>
                <w:rFonts w:ascii="Book Antiqua" w:hAnsi="Book Antiqua"/>
              </w:rPr>
              <w:t xml:space="preserve"> tiek atvērts uz nenoteiktu laiku</w:t>
            </w:r>
            <w:r w:rsidR="003A0202">
              <w:rPr>
                <w:rFonts w:ascii="Book Antiqua" w:hAnsi="Book Antiqua"/>
              </w:rPr>
              <w:t xml:space="preserve">, līdz ar to arī </w:t>
            </w:r>
            <w:r w:rsidR="00B03EA8">
              <w:rPr>
                <w:rFonts w:ascii="Book Antiqua" w:hAnsi="Book Antiqua"/>
              </w:rPr>
              <w:t>procenti uzkrājas tik ilgi, līdz kamēr klients pats nenolemj pārtraukt noguldījuma līgumu</w:t>
            </w:r>
          </w:p>
        </w:tc>
      </w:tr>
      <w:tr w:rsidR="002A277B" w:rsidRPr="003A0202" w:rsidTr="002A277B">
        <w:tc>
          <w:tcPr>
            <w:tcW w:w="4952" w:type="dxa"/>
          </w:tcPr>
          <w:p w:rsidR="002A277B" w:rsidRDefault="002A277B" w:rsidP="009D65C0">
            <w:pPr>
              <w:jc w:val="both"/>
              <w:rPr>
                <w:rFonts w:ascii="Book Antiqua" w:hAnsi="Book Antiqua"/>
              </w:rPr>
            </w:pPr>
            <w:r>
              <w:rPr>
                <w:rFonts w:ascii="Book Antiqua" w:hAnsi="Book Antiqua"/>
              </w:rPr>
              <w:t xml:space="preserve">Ja noguldītā nauda nepieciešama pirms termiņa, </w:t>
            </w:r>
            <w:r w:rsidR="00385ADB">
              <w:rPr>
                <w:rFonts w:ascii="Book Antiqua" w:hAnsi="Book Antiqua"/>
              </w:rPr>
              <w:t>k</w:t>
            </w:r>
            <w:r>
              <w:rPr>
                <w:rFonts w:ascii="Book Antiqua" w:hAnsi="Book Antiqua"/>
              </w:rPr>
              <w:t xml:space="preserve">lientam </w:t>
            </w:r>
            <w:r w:rsidRPr="009D65C0">
              <w:rPr>
                <w:rFonts w:ascii="Book Antiqua" w:hAnsi="Book Antiqua"/>
              </w:rPr>
              <w:t>jāraizējas par soda sankcijām par noguldījuma pirmstermiņa izņemšanu</w:t>
            </w:r>
            <w:r w:rsidR="00156BAE">
              <w:rPr>
                <w:rFonts w:ascii="Book Antiqua" w:hAnsi="Book Antiqua"/>
              </w:rPr>
              <w:t xml:space="preserve"> vai uzkrāto procentu zaudēšanu</w:t>
            </w:r>
          </w:p>
        </w:tc>
        <w:tc>
          <w:tcPr>
            <w:tcW w:w="4953" w:type="dxa"/>
          </w:tcPr>
          <w:p w:rsidR="002A277B" w:rsidRDefault="002A277B" w:rsidP="002A277B">
            <w:pPr>
              <w:jc w:val="both"/>
              <w:rPr>
                <w:rFonts w:ascii="Book Antiqua" w:hAnsi="Book Antiqua"/>
              </w:rPr>
            </w:pPr>
            <w:r w:rsidRPr="009D65C0">
              <w:rPr>
                <w:rFonts w:ascii="Book Antiqua" w:hAnsi="Book Antiqua"/>
              </w:rPr>
              <w:t>„Noguldījums 33”</w:t>
            </w:r>
            <w:r>
              <w:rPr>
                <w:rFonts w:ascii="Book Antiqua" w:hAnsi="Book Antiqua"/>
              </w:rPr>
              <w:t xml:space="preserve"> dod</w:t>
            </w:r>
            <w:r w:rsidRPr="009D65C0">
              <w:rPr>
                <w:rFonts w:ascii="Book Antiqua" w:hAnsi="Book Antiqua"/>
              </w:rPr>
              <w:t xml:space="preserve"> iespēj</w:t>
            </w:r>
            <w:r>
              <w:rPr>
                <w:rFonts w:ascii="Book Antiqua" w:hAnsi="Book Antiqua"/>
              </w:rPr>
              <w:t>u</w:t>
            </w:r>
            <w:r w:rsidRPr="009D65C0">
              <w:rPr>
                <w:rFonts w:ascii="Book Antiqua" w:hAnsi="Book Antiqua"/>
              </w:rPr>
              <w:t xml:space="preserve"> izņemt visu summu bez </w:t>
            </w:r>
            <w:r>
              <w:rPr>
                <w:rFonts w:ascii="Book Antiqua" w:hAnsi="Book Antiqua"/>
              </w:rPr>
              <w:t>soda sankcijām</w:t>
            </w:r>
            <w:r w:rsidRPr="009D65C0">
              <w:rPr>
                <w:rFonts w:ascii="Book Antiqua" w:hAnsi="Book Antiqua"/>
              </w:rPr>
              <w:t>, paziņojot par to bankai 33 dienas iepriekš</w:t>
            </w:r>
            <w:r w:rsidR="00B03EA8">
              <w:rPr>
                <w:rFonts w:ascii="Book Antiqua" w:hAnsi="Book Antiqua"/>
              </w:rPr>
              <w:t xml:space="preserve">. </w:t>
            </w:r>
            <w:proofErr w:type="gramStart"/>
            <w:r w:rsidR="00B03EA8">
              <w:rPr>
                <w:rFonts w:ascii="Book Antiqua" w:hAnsi="Book Antiqua"/>
              </w:rPr>
              <w:t>Pie tam</w:t>
            </w:r>
            <w:proofErr w:type="gramEnd"/>
            <w:r w:rsidR="00B03EA8">
              <w:rPr>
                <w:rFonts w:ascii="Book Antiqua" w:hAnsi="Book Antiqua"/>
              </w:rPr>
              <w:t xml:space="preserve"> klients nezaudē uzkrātos procentus.</w:t>
            </w:r>
          </w:p>
        </w:tc>
      </w:tr>
      <w:tr w:rsidR="002A277B" w:rsidRPr="002D79AA" w:rsidTr="002A277B">
        <w:tc>
          <w:tcPr>
            <w:tcW w:w="4952" w:type="dxa"/>
          </w:tcPr>
          <w:p w:rsidR="002A277B" w:rsidRDefault="00FB5151" w:rsidP="00385ADB">
            <w:pPr>
              <w:jc w:val="both"/>
              <w:rPr>
                <w:rFonts w:ascii="Book Antiqua" w:hAnsi="Book Antiqua"/>
              </w:rPr>
            </w:pPr>
            <w:r>
              <w:rPr>
                <w:rFonts w:ascii="Book Antiqua" w:hAnsi="Book Antiqua"/>
              </w:rPr>
              <w:t>Ja n</w:t>
            </w:r>
            <w:r w:rsidR="002A277B">
              <w:rPr>
                <w:rFonts w:ascii="Book Antiqua" w:hAnsi="Book Antiqua"/>
              </w:rPr>
              <w:t>opelnītie procenti tiek saņemti termiņa</w:t>
            </w:r>
            <w:r>
              <w:rPr>
                <w:rFonts w:ascii="Book Antiqua" w:hAnsi="Book Antiqua"/>
              </w:rPr>
              <w:t xml:space="preserve"> beigās, tie nenes papildu</w:t>
            </w:r>
            <w:r w:rsidR="002A277B">
              <w:rPr>
                <w:rFonts w:ascii="Book Antiqua" w:hAnsi="Book Antiqua"/>
              </w:rPr>
              <w:t xml:space="preserve"> peļņu</w:t>
            </w:r>
            <w:r w:rsidR="00385ADB">
              <w:rPr>
                <w:rFonts w:ascii="Book Antiqua" w:hAnsi="Book Antiqua"/>
              </w:rPr>
              <w:t>,</w:t>
            </w:r>
            <w:r>
              <w:rPr>
                <w:rFonts w:ascii="Book Antiqua" w:hAnsi="Book Antiqua"/>
              </w:rPr>
              <w:t xml:space="preserve"> </w:t>
            </w:r>
            <w:proofErr w:type="gramStart"/>
            <w:r w:rsidR="00385ADB">
              <w:rPr>
                <w:rFonts w:ascii="Book Antiqua" w:hAnsi="Book Antiqua"/>
              </w:rPr>
              <w:t>b</w:t>
            </w:r>
            <w:r>
              <w:rPr>
                <w:rFonts w:ascii="Book Antiqua" w:hAnsi="Book Antiqua"/>
              </w:rPr>
              <w:t>et</w:t>
            </w:r>
            <w:proofErr w:type="gramEnd"/>
            <w:r>
              <w:rPr>
                <w:rFonts w:ascii="Book Antiqua" w:hAnsi="Book Antiqua"/>
              </w:rPr>
              <w:t xml:space="preserve"> ja tie tiek saņemti katru mēnesi, jāmeklē iespēja tos atkal noguldīt, lai saņemtu papildu peļņu</w:t>
            </w:r>
          </w:p>
        </w:tc>
        <w:tc>
          <w:tcPr>
            <w:tcW w:w="4953" w:type="dxa"/>
          </w:tcPr>
          <w:p w:rsidR="002A277B" w:rsidRPr="009D65C0" w:rsidRDefault="002A277B" w:rsidP="00FB5151">
            <w:pPr>
              <w:jc w:val="both"/>
              <w:rPr>
                <w:rFonts w:ascii="Book Antiqua" w:hAnsi="Book Antiqua"/>
              </w:rPr>
            </w:pPr>
            <w:r w:rsidRPr="009D65C0">
              <w:rPr>
                <w:rFonts w:ascii="Book Antiqua" w:hAnsi="Book Antiqua"/>
              </w:rPr>
              <w:t>„Noguldījums 33”</w:t>
            </w:r>
            <w:r>
              <w:rPr>
                <w:rFonts w:ascii="Book Antiqua" w:hAnsi="Book Antiqua"/>
              </w:rPr>
              <w:t xml:space="preserve"> procentu kapitalizācija notiek automātiski reizi 3 mēnešos un tādejādi </w:t>
            </w:r>
            <w:r w:rsidR="00FB5151">
              <w:rPr>
                <w:rFonts w:ascii="Book Antiqua" w:hAnsi="Book Antiqua"/>
              </w:rPr>
              <w:t xml:space="preserve">nopelnītie procenti </w:t>
            </w:r>
            <w:r>
              <w:rPr>
                <w:rFonts w:ascii="Book Antiqua" w:hAnsi="Book Antiqua"/>
              </w:rPr>
              <w:t>nes papildu peļņu</w:t>
            </w:r>
          </w:p>
        </w:tc>
      </w:tr>
    </w:tbl>
    <w:p w:rsidR="002A277B" w:rsidRPr="009D65C0" w:rsidRDefault="002A277B" w:rsidP="009D65C0">
      <w:pPr>
        <w:spacing w:after="0"/>
        <w:jc w:val="both"/>
        <w:rPr>
          <w:rFonts w:ascii="Book Antiqua" w:hAnsi="Book Antiqua"/>
        </w:rPr>
      </w:pPr>
    </w:p>
    <w:p w:rsidR="001F2743" w:rsidRPr="001E4173" w:rsidRDefault="001F2743" w:rsidP="001F2743">
      <w:pPr>
        <w:spacing w:after="0"/>
        <w:jc w:val="both"/>
        <w:rPr>
          <w:rFonts w:ascii="Book Antiqua" w:hAnsi="Book Antiqua"/>
          <w:u w:val="single"/>
        </w:rPr>
      </w:pPr>
      <w:r>
        <w:rPr>
          <w:rFonts w:ascii="Book Antiqua" w:hAnsi="Book Antiqua"/>
          <w:u w:val="single"/>
        </w:rPr>
        <w:t>Pārdošanas rezultāti</w:t>
      </w:r>
    </w:p>
    <w:p w:rsidR="004E0C3C" w:rsidRPr="004E0C3C" w:rsidRDefault="008B68A6" w:rsidP="001F2743">
      <w:pPr>
        <w:spacing w:after="0"/>
        <w:jc w:val="both"/>
        <w:rPr>
          <w:rFonts w:ascii="Book Antiqua" w:hAnsi="Book Antiqua"/>
        </w:rPr>
      </w:pPr>
      <w:bookmarkStart w:id="0" w:name="_GoBack"/>
      <w:proofErr w:type="spellStart"/>
      <w:r>
        <w:rPr>
          <w:rFonts w:ascii="Book Antiqua" w:hAnsi="Book Antiqua"/>
        </w:rPr>
        <w:t>Baltic</w:t>
      </w:r>
      <w:proofErr w:type="spellEnd"/>
      <w:r>
        <w:rPr>
          <w:rFonts w:ascii="Book Antiqua" w:hAnsi="Book Antiqua"/>
        </w:rPr>
        <w:t xml:space="preserve"> </w:t>
      </w:r>
      <w:proofErr w:type="spellStart"/>
      <w:r>
        <w:rPr>
          <w:rFonts w:ascii="Book Antiqua" w:hAnsi="Book Antiqua"/>
        </w:rPr>
        <w:t>International</w:t>
      </w:r>
      <w:proofErr w:type="spellEnd"/>
      <w:r>
        <w:rPr>
          <w:rFonts w:ascii="Book Antiqua" w:hAnsi="Book Antiqua"/>
        </w:rPr>
        <w:t xml:space="preserve"> </w:t>
      </w:r>
      <w:proofErr w:type="spellStart"/>
      <w:r>
        <w:rPr>
          <w:rFonts w:ascii="Book Antiqua" w:hAnsi="Book Antiqua"/>
        </w:rPr>
        <w:t>B</w:t>
      </w:r>
      <w:r w:rsidR="004E0C3C">
        <w:rPr>
          <w:rFonts w:ascii="Book Antiqua" w:hAnsi="Book Antiqua"/>
        </w:rPr>
        <w:t>ank</w:t>
      </w:r>
      <w:proofErr w:type="spellEnd"/>
      <w:r w:rsidR="004E0C3C">
        <w:rPr>
          <w:rFonts w:ascii="Book Antiqua" w:hAnsi="Book Antiqua"/>
        </w:rPr>
        <w:t xml:space="preserve"> klienti jau paguva novērtēt </w:t>
      </w:r>
      <w:r w:rsidR="00B72F9F">
        <w:rPr>
          <w:rFonts w:ascii="Book Antiqua" w:hAnsi="Book Antiqua"/>
        </w:rPr>
        <w:t>jauno noguldījumu programmu, un 6 mēnešu laikā pēc tās ieviešanas (</w:t>
      </w:r>
      <w:r w:rsidR="001F2743">
        <w:rPr>
          <w:rFonts w:ascii="Book Antiqua" w:hAnsi="Book Antiqua"/>
        </w:rPr>
        <w:t xml:space="preserve">no 2013. gada </w:t>
      </w:r>
      <w:r w:rsidR="00353CA5">
        <w:rPr>
          <w:rFonts w:ascii="Book Antiqua" w:hAnsi="Book Antiqua"/>
        </w:rPr>
        <w:t xml:space="preserve">jūlija beigām </w:t>
      </w:r>
      <w:r w:rsidR="00B72F9F">
        <w:rPr>
          <w:rFonts w:ascii="Book Antiqua" w:hAnsi="Book Antiqua"/>
        </w:rPr>
        <w:t>līdz 2014.</w:t>
      </w:r>
      <w:r w:rsidR="00353CA5">
        <w:rPr>
          <w:rFonts w:ascii="Book Antiqua" w:hAnsi="Book Antiqua"/>
        </w:rPr>
        <w:t xml:space="preserve"> </w:t>
      </w:r>
      <w:r w:rsidR="00B72F9F">
        <w:rPr>
          <w:rFonts w:ascii="Book Antiqua" w:hAnsi="Book Antiqua"/>
        </w:rPr>
        <w:t xml:space="preserve">janvāra beigām) teju 30% no visiem </w:t>
      </w:r>
      <w:r w:rsidR="002D79AA">
        <w:rPr>
          <w:rFonts w:ascii="Book Antiqua" w:hAnsi="Book Antiqua"/>
        </w:rPr>
        <w:t>termiņ</w:t>
      </w:r>
      <w:r w:rsidR="00B72F9F">
        <w:rPr>
          <w:rFonts w:ascii="Book Antiqua" w:hAnsi="Book Antiqua"/>
        </w:rPr>
        <w:t xml:space="preserve">noguldījumiem Bankā ir </w:t>
      </w:r>
      <w:r w:rsidR="00353CA5">
        <w:rPr>
          <w:rFonts w:ascii="Book Antiqua" w:hAnsi="Book Antiqua"/>
        </w:rPr>
        <w:t>izvietoti</w:t>
      </w:r>
      <w:r w:rsidR="00B72F9F">
        <w:rPr>
          <w:rFonts w:ascii="Book Antiqua" w:hAnsi="Book Antiqua"/>
        </w:rPr>
        <w:t xml:space="preserve"> </w:t>
      </w:r>
      <w:r w:rsidR="00353CA5">
        <w:rPr>
          <w:rFonts w:ascii="Book Antiqua" w:hAnsi="Book Antiqua"/>
        </w:rPr>
        <w:t xml:space="preserve">tieši </w:t>
      </w:r>
      <w:r w:rsidR="00B72F9F">
        <w:rPr>
          <w:rFonts w:ascii="Book Antiqua" w:hAnsi="Book Antiqua"/>
        </w:rPr>
        <w:t>„Noguldījum</w:t>
      </w:r>
      <w:r w:rsidR="00353CA5">
        <w:rPr>
          <w:rFonts w:ascii="Book Antiqua" w:hAnsi="Book Antiqua"/>
        </w:rPr>
        <w:t>ā</w:t>
      </w:r>
      <w:r w:rsidR="00B72F9F">
        <w:rPr>
          <w:rFonts w:ascii="Book Antiqua" w:hAnsi="Book Antiqua"/>
        </w:rPr>
        <w:t xml:space="preserve"> 33”.</w:t>
      </w:r>
      <w:bookmarkEnd w:id="0"/>
    </w:p>
    <w:sectPr w:rsidR="004E0C3C" w:rsidRPr="004E0C3C" w:rsidSect="009E4117">
      <w:pgSz w:w="12240" w:h="15840"/>
      <w:pgMar w:top="567"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620" w:rsidRDefault="00F35620" w:rsidP="008A7AC3">
      <w:pPr>
        <w:spacing w:after="0" w:line="240" w:lineRule="auto"/>
      </w:pPr>
      <w:r>
        <w:separator/>
      </w:r>
    </w:p>
  </w:endnote>
  <w:endnote w:type="continuationSeparator" w:id="0">
    <w:p w:rsidR="00F35620" w:rsidRDefault="00F35620" w:rsidP="008A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620" w:rsidRDefault="00F35620" w:rsidP="008A7AC3">
      <w:pPr>
        <w:spacing w:after="0" w:line="240" w:lineRule="auto"/>
      </w:pPr>
      <w:r>
        <w:separator/>
      </w:r>
    </w:p>
  </w:footnote>
  <w:footnote w:type="continuationSeparator" w:id="0">
    <w:p w:rsidR="00F35620" w:rsidRDefault="00F35620" w:rsidP="008A7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D0E08"/>
    <w:multiLevelType w:val="hybridMultilevel"/>
    <w:tmpl w:val="20E44ABA"/>
    <w:lvl w:ilvl="0" w:tplc="C3F8769E">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997957"/>
    <w:multiLevelType w:val="hybridMultilevel"/>
    <w:tmpl w:val="28080014"/>
    <w:lvl w:ilvl="0" w:tplc="B082201C">
      <w:numFmt w:val="bullet"/>
      <w:lvlText w:val="-"/>
      <w:lvlJc w:val="left"/>
      <w:pPr>
        <w:ind w:left="420" w:hanging="360"/>
      </w:pPr>
      <w:rPr>
        <w:rFonts w:ascii="Book Antiqua" w:eastAsiaTheme="minorHAnsi" w:hAnsi="Book Antiqu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4BD334D7"/>
    <w:multiLevelType w:val="hybridMultilevel"/>
    <w:tmpl w:val="C28626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34F7331"/>
    <w:multiLevelType w:val="multilevel"/>
    <w:tmpl w:val="DAA8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0F"/>
    <w:rsid w:val="00094775"/>
    <w:rsid w:val="00123993"/>
    <w:rsid w:val="00156BAE"/>
    <w:rsid w:val="00183A68"/>
    <w:rsid w:val="001E2308"/>
    <w:rsid w:val="001E4173"/>
    <w:rsid w:val="001F2743"/>
    <w:rsid w:val="00270A45"/>
    <w:rsid w:val="002A277B"/>
    <w:rsid w:val="002D79AA"/>
    <w:rsid w:val="00353CA5"/>
    <w:rsid w:val="00385ADB"/>
    <w:rsid w:val="003A0202"/>
    <w:rsid w:val="003B06B9"/>
    <w:rsid w:val="003E6A96"/>
    <w:rsid w:val="004076B5"/>
    <w:rsid w:val="00410A95"/>
    <w:rsid w:val="004E0C3C"/>
    <w:rsid w:val="005C6C4F"/>
    <w:rsid w:val="005F7F0F"/>
    <w:rsid w:val="00672BF1"/>
    <w:rsid w:val="007E650B"/>
    <w:rsid w:val="008A7AC3"/>
    <w:rsid w:val="008B68A6"/>
    <w:rsid w:val="008C7078"/>
    <w:rsid w:val="009301FC"/>
    <w:rsid w:val="00962369"/>
    <w:rsid w:val="009623BB"/>
    <w:rsid w:val="0098440F"/>
    <w:rsid w:val="00986AA3"/>
    <w:rsid w:val="009D65C0"/>
    <w:rsid w:val="009E4117"/>
    <w:rsid w:val="00A94700"/>
    <w:rsid w:val="00AD1A67"/>
    <w:rsid w:val="00B03EA8"/>
    <w:rsid w:val="00B72F9F"/>
    <w:rsid w:val="00CD2021"/>
    <w:rsid w:val="00D43AAC"/>
    <w:rsid w:val="00D622EA"/>
    <w:rsid w:val="00DC3B6F"/>
    <w:rsid w:val="00E20A1A"/>
    <w:rsid w:val="00ED44E1"/>
    <w:rsid w:val="00F35620"/>
    <w:rsid w:val="00FB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7F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7F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7F0F"/>
    <w:rPr>
      <w:i/>
      <w:iCs/>
    </w:rPr>
  </w:style>
  <w:style w:type="character" w:customStyle="1" w:styleId="apple-converted-space">
    <w:name w:val="apple-converted-space"/>
    <w:basedOn w:val="DefaultParagraphFont"/>
    <w:rsid w:val="005F7F0F"/>
  </w:style>
  <w:style w:type="paragraph" w:styleId="ListParagraph">
    <w:name w:val="List Paragraph"/>
    <w:basedOn w:val="Normal"/>
    <w:uiPriority w:val="34"/>
    <w:qFormat/>
    <w:rsid w:val="005F7F0F"/>
    <w:pPr>
      <w:ind w:left="720"/>
      <w:contextualSpacing/>
    </w:pPr>
  </w:style>
  <w:style w:type="character" w:customStyle="1" w:styleId="Heading1Char">
    <w:name w:val="Heading 1 Char"/>
    <w:basedOn w:val="DefaultParagraphFont"/>
    <w:link w:val="Heading1"/>
    <w:uiPriority w:val="9"/>
    <w:rsid w:val="005F7F0F"/>
    <w:rPr>
      <w:rFonts w:ascii="Times New Roman" w:eastAsia="Times New Roman" w:hAnsi="Times New Roman" w:cs="Times New Roman"/>
      <w:b/>
      <w:bCs/>
      <w:kern w:val="36"/>
      <w:sz w:val="48"/>
      <w:szCs w:val="48"/>
    </w:rPr>
  </w:style>
  <w:style w:type="paragraph" w:styleId="EndnoteText">
    <w:name w:val="endnote text"/>
    <w:basedOn w:val="Normal"/>
    <w:link w:val="EndnoteTextChar"/>
    <w:uiPriority w:val="99"/>
    <w:semiHidden/>
    <w:unhideWhenUsed/>
    <w:rsid w:val="008A7A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7AC3"/>
    <w:rPr>
      <w:sz w:val="20"/>
      <w:szCs w:val="20"/>
    </w:rPr>
  </w:style>
  <w:style w:type="character" w:styleId="EndnoteReference">
    <w:name w:val="endnote reference"/>
    <w:basedOn w:val="DefaultParagraphFont"/>
    <w:uiPriority w:val="99"/>
    <w:semiHidden/>
    <w:unhideWhenUsed/>
    <w:rsid w:val="008A7AC3"/>
    <w:rPr>
      <w:vertAlign w:val="superscript"/>
    </w:rPr>
  </w:style>
  <w:style w:type="table" w:styleId="TableGrid">
    <w:name w:val="Table Grid"/>
    <w:basedOn w:val="TableNormal"/>
    <w:uiPriority w:val="59"/>
    <w:rsid w:val="002A2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C3B6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DC3B6F"/>
  </w:style>
  <w:style w:type="paragraph" w:styleId="Footer">
    <w:name w:val="footer"/>
    <w:basedOn w:val="Normal"/>
    <w:link w:val="FooterChar"/>
    <w:uiPriority w:val="99"/>
    <w:semiHidden/>
    <w:unhideWhenUsed/>
    <w:rsid w:val="00DC3B6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DC3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7F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7F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7F0F"/>
    <w:rPr>
      <w:i/>
      <w:iCs/>
    </w:rPr>
  </w:style>
  <w:style w:type="character" w:customStyle="1" w:styleId="apple-converted-space">
    <w:name w:val="apple-converted-space"/>
    <w:basedOn w:val="DefaultParagraphFont"/>
    <w:rsid w:val="005F7F0F"/>
  </w:style>
  <w:style w:type="paragraph" w:styleId="ListParagraph">
    <w:name w:val="List Paragraph"/>
    <w:basedOn w:val="Normal"/>
    <w:uiPriority w:val="34"/>
    <w:qFormat/>
    <w:rsid w:val="005F7F0F"/>
    <w:pPr>
      <w:ind w:left="720"/>
      <w:contextualSpacing/>
    </w:pPr>
  </w:style>
  <w:style w:type="character" w:customStyle="1" w:styleId="Heading1Char">
    <w:name w:val="Heading 1 Char"/>
    <w:basedOn w:val="DefaultParagraphFont"/>
    <w:link w:val="Heading1"/>
    <w:uiPriority w:val="9"/>
    <w:rsid w:val="005F7F0F"/>
    <w:rPr>
      <w:rFonts w:ascii="Times New Roman" w:eastAsia="Times New Roman" w:hAnsi="Times New Roman" w:cs="Times New Roman"/>
      <w:b/>
      <w:bCs/>
      <w:kern w:val="36"/>
      <w:sz w:val="48"/>
      <w:szCs w:val="48"/>
    </w:rPr>
  </w:style>
  <w:style w:type="paragraph" w:styleId="EndnoteText">
    <w:name w:val="endnote text"/>
    <w:basedOn w:val="Normal"/>
    <w:link w:val="EndnoteTextChar"/>
    <w:uiPriority w:val="99"/>
    <w:semiHidden/>
    <w:unhideWhenUsed/>
    <w:rsid w:val="008A7A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7AC3"/>
    <w:rPr>
      <w:sz w:val="20"/>
      <w:szCs w:val="20"/>
    </w:rPr>
  </w:style>
  <w:style w:type="character" w:styleId="EndnoteReference">
    <w:name w:val="endnote reference"/>
    <w:basedOn w:val="DefaultParagraphFont"/>
    <w:uiPriority w:val="99"/>
    <w:semiHidden/>
    <w:unhideWhenUsed/>
    <w:rsid w:val="008A7AC3"/>
    <w:rPr>
      <w:vertAlign w:val="superscript"/>
    </w:rPr>
  </w:style>
  <w:style w:type="table" w:styleId="TableGrid">
    <w:name w:val="Table Grid"/>
    <w:basedOn w:val="TableNormal"/>
    <w:uiPriority w:val="59"/>
    <w:rsid w:val="002A2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C3B6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DC3B6F"/>
  </w:style>
  <w:style w:type="paragraph" w:styleId="Footer">
    <w:name w:val="footer"/>
    <w:basedOn w:val="Normal"/>
    <w:link w:val="FooterChar"/>
    <w:uiPriority w:val="99"/>
    <w:semiHidden/>
    <w:unhideWhenUsed/>
    <w:rsid w:val="00DC3B6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DC3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97427">
      <w:bodyDiv w:val="1"/>
      <w:marLeft w:val="0"/>
      <w:marRight w:val="0"/>
      <w:marTop w:val="0"/>
      <w:marBottom w:val="0"/>
      <w:divBdr>
        <w:top w:val="none" w:sz="0" w:space="0" w:color="auto"/>
        <w:left w:val="none" w:sz="0" w:space="0" w:color="auto"/>
        <w:bottom w:val="none" w:sz="0" w:space="0" w:color="auto"/>
        <w:right w:val="none" w:sz="0" w:space="0" w:color="auto"/>
      </w:divBdr>
      <w:divsChild>
        <w:div w:id="213658064">
          <w:marLeft w:val="0"/>
          <w:marRight w:val="0"/>
          <w:marTop w:val="0"/>
          <w:marBottom w:val="0"/>
          <w:divBdr>
            <w:top w:val="none" w:sz="0" w:space="0" w:color="auto"/>
            <w:left w:val="none" w:sz="0" w:space="0" w:color="auto"/>
            <w:bottom w:val="none" w:sz="0" w:space="0" w:color="auto"/>
            <w:right w:val="none" w:sz="0" w:space="0" w:color="auto"/>
          </w:divBdr>
        </w:div>
      </w:divsChild>
    </w:div>
    <w:div w:id="19979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2CD3-3788-43BB-81BC-DDC72C508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3248</Words>
  <Characters>1852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Baltic International Bank</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kenga.o</dc:creator>
  <cp:lastModifiedBy>Baiba Melnace</cp:lastModifiedBy>
  <cp:revision>3</cp:revision>
  <dcterms:created xsi:type="dcterms:W3CDTF">2014-03-05T10:24:00Z</dcterms:created>
  <dcterms:modified xsi:type="dcterms:W3CDTF">2014-03-19T14:30:00Z</dcterms:modified>
</cp:coreProperties>
</file>